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2007/192 vom 13. Januar 2009</w:t>
      </w:r>
    </w:p>
    <w:p>
      <w:r>
        <w:t>Sg Versicherungsgericht, 2009-01-13, DE</w:t>
      </w:r>
    </w:p>
    <w:p>
      <w:r>
        <w:rPr>
          <w:b/>
        </w:rPr>
        <w:t xml:space="preserve">Quelle: </w:t>
      </w:r>
      <w:r>
        <w:t>https://mcp.opencaselaw.ch/entscheid/sg_publikationen_IV 2007_192</w:t>
      </w:r>
    </w:p>
    <w:p>
      <w:r>
        <w:t>FR: SG_VERSICHERUNGSGERICHT IV 2007/192 du 13 janvier 2009</w:t>
      </w:r>
    </w:p>
    <w:p>
      <w:r>
        <w:t>IT: SG_VERSICHERUNGSGERICHT IV 2007/192 del 13 gennaio 2009</w:t>
      </w:r>
    </w:p>
    <w:p>
      <w:pPr>
        <w:pStyle w:val="Heading2"/>
      </w:pPr>
      <w:r>
        <w:t>Regeste</w:t>
      </w:r>
    </w:p>
    <w:p>
      <w:r>
        <w:t>Art. 28 aIVG; Rentenanspruch; Vornahme eines Prozentvergleichs wegen Minderverdienstes; Abzug vom Invalideneinkommen (sog. Leidensabzug) (Entscheid des Versicherungsgerichts des Kantons St. Gallen vom 13. Januar 2009, IV 2007/192).</w:t>
      </w:r>
    </w:p>
    <w:p>
      <w:pPr>
        <w:pStyle w:val="Heading2"/>
      </w:pPr>
      <w:r>
        <w:t>Erwägungen</w:t>
      </w:r>
    </w:p>
    <w:p>
      <w:r>
        <w:rPr>
          <w:b/>
        </w:rPr>
        <w:t>E. 1</w:t>
      </w:r>
    </w:p>
    <w:p>
      <w:r>
        <w:t>1.1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1.2  Die Rentenabstufungen in aArt. 28 Abs. 1 des Bundesgesetzes über die Invalidenversicherung (IVG; SR 831.20, in der bis 31. Dezember 2007 gültigen Fassung)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1.3  Für die Bemessung der Invalidität wird gemäss Art. 16 ATSG das Erwerbseinkommen, das die versicherte Person nach Eintritt der Invalidität und nach Durchführung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2</w:t>
      </w:r>
    </w:p>
    <w:p>
      <w:r>
        <w:t>2.1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Was Berichte von Hausärzten angeht, darf und soll die Erfahrungstatsache mitberücksichtigt werden, dass Hausärzte aufgrund des Auftrags- und teilweise persönlichen Verhältnisses zu ihren Patienten in Zweifelsfällen eher dazu neigen, zu Gunsten ihrer Patienten auszusagen (BGE 125 V 351 E. 3b/cc).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175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i.S. M., I 514/06, E. 2.2.1 mit Hinweisen). 2.2  Der Beschwerdeführer rügt, dass die von den Gutachtern ermittelte 60%ige Arbeitsfähigkeit unzutreffend sei. 2.3  Im Hinblick auf die Würdigung der medizinischen Situation fällt ins Gewicht, dass das MEDAS-Gutachten auf eigenständigen interdisziplinären Abklärungen, mithin auf allseitigen Untersuchungen beruht und damit für die streitigen Belange umfassend ist. Es wurden die Vorakten verwertet und die vom Beschwerdeführer geklagten Beschwerden berücksichtigt. Das MEDAS-Gutachten leuchtet in der Darlegung der medizinischen Zusammenhänge und in der Beurteilung der medizinischen Situation ein. Vor diesem Hintergrund vermögen auch die darin enthaltenen Schlussfolgerungen, namentlich die Beurteilung der Arbeitsfähigkeit in einer adaptierten Tätigkeit, – entgegen der Auffassung des Beschwerdeführers – zu überzeugen. Das MEDAS-Gutachten erfüllt mithin alle praxisgemässen Kriterien für beweiskräftige Gutachten (vgl. BGE 125 V 352 E. 3a), so dass grundsätzlich darauf abzustellen ist. 2.4  Der Beschwerdeführer vermag keine konkreten Mängel an der Gutachtenserstellung zu benennen. Ebenso ist die fachärztliche Qualifikation der Gutachter unbestritten geblieben. Seine Kritik am MEDAS-Gutachten beschränkt sich darauf, dass die geringe Berücksichtigung der somatischen Beschwerden im Umfang von 5% nicht nachvollziehbar sei. 2.4.1 Vorab ist darauf hinzuweisen, dass bei Zusammentreffen verschiedener Gesundheitsbeeinträchtigungen deren erwerblichen Auswirkungen sich in der Regel überschneiden, weshalb der Grad der Arbeitsunfähigkeit diesfalls aufgrund einer sämtliche Behinderungen umfassenden ärztlichen Gesamtbeurteilung zu bestimmen ist. Eine blosse Addition der mit Bezug auf einzelne Funktionsstörungen und Beschwerdebilder geschätzten Arbeitsunfähigkeitsgrade ist nicht zulässig (Urteil des Eidgenössischen Versicherungsgerichts [EVG; ab 1. Januar 2007: Sozialrechtliche Abteilungen des Bundesgerichts] vom 3. März 2003 i.S. E., I 850/02, E. 6.4.1 mit Hinweisen). 2.4.2 Ausgehend von der erhobenen Diagnose (Anpassungsstörung mit depressiven Verstimmungen, Angst und neurovegetativen Reaktionen bei einem chronischen Schmerzsyndrom infolge Unfallverletzung [ICD-10: F43.8]) und eigenen Untersuchungen ermittelte der psychiatrische Teilgutachter eine Arbeitsunfähigkeit von 35% (act. G 5.1/69.29 f.), was vom Beschwerdeführer nicht kritisiert wird. Der orthopädische Teilgutachter legte unter Berücksichtigung der körperlichen Beschwerden nachvollziehbar dar, dass alle Arbeiten zumutbar seien, bei denen die linke Hand als gute Zudienhand eingesetzt werden könne. Hingegen könnten Überkopfarbeiten sowie schwere körperliche Arbeiten vom Beschwerdeführer nicht mehr ausgeführt werden (act. G 5.1/69.34). Internistischerseits seien Tätigkeiten unter Dauerstress zu vermeiden (act. G 5.1/69.22). Im Rahmen der isolierten Betrachtung wird in den genannten medizinischen Beurteilungen lediglich die Arbeitsunfähigkeit aus psychiatrischen Gründen mit 35% bemessen, während in somatischer Hinsicht nur vereinzelte Einschränkungen, aber keine prozentuale Arbeitsunfähigkeit angegeben wird. Die Gutachter gehen aber gestützt auf eine Gesamtbetrachtung davon aus, dass die Arbeitsunfähigkeit zusätzlich um 5% höher liege. Nicht zuletzt im Hinblick auf die Tatsache, dass Schätzungen der Arbeitsunfähigkeit notwendigerweise Ermessenszüge aufweisen (Urteil des EVG vom 31. März 2006 i.S. G., I 561/05, E. 3.3 und 3.4 mit Hinweisen), ist die im Rahmen einer sämtliche Behinderungen umfassenden Gesamtbeurteilung der MEDAS-Gutachter ermittelte 40%ige Arbeitsunfähigkeit nicht zu beanstanden. Dies gilt umso mehr, als im Gutachten des AEH die Einschätzung der MEDAS als schlüssig bezeichnet wurde (act. G 13.154, S. 14).</w:t>
      </w:r>
    </w:p>
    <w:p>
      <w:r>
        <w:rPr>
          <w:b/>
        </w:rPr>
        <w:t>E. 3</w:t>
      </w:r>
    </w:p>
    <w:p>
      <w:r>
        <w:t>3.1  Mit der Beschwerdegegnerin ist nach dem Gesagten von einer 40%igen Arbeitsunfähigkeit in einer adaptierten Tätigkeit auszugehen. Nachfolgend sind deren erwerblichen Auswirkungen zu prüfen.</w:t>
      </w:r>
    </w:p>
    <w:p>
      <w:r>
        <w:rPr>
          <w:b/>
        </w:rPr>
        <w:t>E. 3.2.1</w:t>
      </w:r>
    </w:p>
    <w:p>
      <w:r>
        <w:t>Für die Ermittlung des Valideneinkommens ist entscheidend, was die versicherte Person im Zeitpunkt des frühest möglichen Rentenbeginns nach dem Beweisgrad der überwiegenden Wahrscheinlichkeit als Gesunde tatsächlich verdient hätte (RKUV 1993 Nr. U 168 S. 100 E. 3).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224 E. 4.3.1 mit Hinweisen). Nach der höchstrichterlichen Rechtsprechung ist für die Vornahme des Einkommensvergleichs auf die Gegebenheiten im Zeitpunkt des allfälligen Rentenbeginns abzustellen (vgl. BGE 129 V 222). Für die Bestimmung des trotz Gesundheitsschädigung zumutbarerweise noch realisierbaren Einkommens (Invalideneinkommen) ist primär von der beruflich-erwerblichen Situation auszugehen, in welcher die versicherte Person konkret steht. Übt die versicherte Person keine Erwerbstätigkeit mehr aus und ist somit kein tatsächlich erzieltes Erwerbseinkommen gegeben, so ist rechtsprechungsgemäss auf die vom Bundesamt für Statistik herausgegebene Schweizerische Lohnstrukturerhebung abzustellen. Für den Einkommensvergleich ist dabei auf die im Anhang enthaltene Statistik der Lohnsätze, d.h. der standardisierten Bruttolöhne (Tabellengruppe A) abzustellen (BGE 126 V 76 E. 3b).</w:t>
      </w:r>
    </w:p>
    <w:p>
      <w:r>
        <w:rPr>
          <w:b/>
        </w:rPr>
        <w:t>E. 3.2.2</w:t>
      </w:r>
    </w:p>
    <w:p>
      <w:r>
        <w:t>Die Beschwerdegegnerin stellte bei der Bestimmung des Valideneinkommens (Fr. 48'043.--) auf den vom Beschwerdeführer zuletzt erzielten Jahresverdienst 2001 ab und passte diesen an die Nominallohnerhöhung bis 2003 an. Da das durchschnittliche Bruttojahreseinkommen von Männern im Anforderungsniveau 4 (einfache und repetitive Tätigkeiten) von Fr. 57'745.-- erheblich über dem Valideneinkommen lag, ging die Beschwerdegegnerin davon aus, dass der Beschwerdeführer zuletzt unfreiwillig ein unterdurchschnittliches Erwerbseinkommen erzielt hat. Sie legte daher der Ermittlung des Invalideneinkommens das Valideneinkommen zu Grunde. Für die Restarbeitsfähigkeit von 60% berechnete sie ein Invalideneinkommen von Fr. 28'826.-- (Fr. 48'043.-- x 0.6; act. G 5, S. 6). Dieses Vorgehen ist nicht zu beanstanden und entspricht der höchstrichterlichen Rechtsprechung zur Parallelisierung der Vergleichseinkommen bei Minderverdienst (BGE 134 V 326 E. 4.1). Sind demnach Validen- und Invalideneinkommen ausgehend vom selben Lohn zu berechnen, erübrigt sich deren genaue Ermittlung. Diesfalls entspricht der Invaliditätsgrad dem Grad der Arbeitsunfähigkeit unter Berücksichtigung des Abzuges vom Tabellenlohn (vgl. SVR 2008 IV Nr. 2 S. 3 E. 5.4). 3.3  Zu beurteilen bleibt daher noch die Frage, in welchem Umfang ein sogenannter Leidensabzug auf dem Invalideneinkommen vorzunehmen ist.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Dabei ist zu beachten, dass allfällige bereits bei der Parallelisierung der Vergleichseinkommen mitverantwortliche invaliditätsfremde Faktoren im Rahmen des sogenannten Leidensabzuges nicht nochmals berücksichtigt werden dürfen (BGE 134 V 328 E. 5.2). 3.3.1 Die Beschwerdegegnerin anerkannte in der Beschwerdeantwort vom 13. Juni 2007 aufgrund der verminderten Belastbarkeit des Beschwerdeführers einen 10%igen Abzug vom Invalideneinkommen. Diese Bemessung des Leidensabzugs hält einer Ermessensprüfung nicht stand. 3.3.2 So berücksichtigte die Beschwerdegegnerin keinen Teilzeitabzug. Aus der Schweizerischen Lohnstrukturerhebung des Jahres 2006 geht aus der Tabelle T2 (standardisierter monatlicher Bruttolohn in Franken nach Beschäftigungsgrad, Anforderungsniveau des Arbeitsplatzes und Geschlecht) hervor, dass Männer mit einem zwischen 50% und 74% liegenden Arbeitspensum im Durchschnitt einen Lohnnachteil von 9% erleiden. Wie bereits in RKUV 1999 S. 412 ff. anerkannte das Bundesgericht im Entscheid 9C_603/07 vom 8. Januar 2008, dass nicht nur Teilzeitarbeit als solche, sondern auch ein ganztägiger Einsatz bei reduzierter Leistungsfähigkeit die Vornahme eines Abzugs rechtfertige. Es hielt fest, ein rund hälftiges Arbeitspensum, das lediglich über einen ganzen Arbeitstag verteilt erbracht werden könne und nicht etwa nur vormittags oder nachmittags, sei aus betriebswirtschaftlicher Sicht (Auslastung des Arbeitsplatzes) als lohnmässig relevante Erschwernis für die erwerbliche Verwertung der verbleibenden Arbeitsfähigkeit anzuerkennen (E. 4.2.3). Obwohl das Bundesgericht in einigen Entscheiden gegenteilig argumentiert (vgl. etwa Urteil des Bundesgerichts vom 2. November 2007 i.S. A, I 69/07), erscheint es als gerechtfertigt, den sogenannten Teilzeitabzug auch bei ganztägiger Anwesenheit mit reduzierter Leistungsfähigkeit anzuerkennen. Wird ein Versicherter für Arbeit im Ausmass von z.B. 50% eines Vollpensums angestellt, so wird er gewiss keinen höheren Lohn erwarten können, wenn er für diese 50% Leistung 100% der betriebsüblichen Arbeitszeit benötigt. Somit ist dem Bundesgericht in seiner Argumentation gemäss dem Entscheid 9C_603/07 zu folgen. Im davon abweichenden Entscheid I 69/07 nannte das Bundesgericht als Beispiel eines Faktors, der eine Vollzeittätigkeit mit eingeschränktem Leistungsvermögen für einen Arbeitgeber attraktiver erscheinen lasse als eine Teilzeittätigkeit, grössere Flexibilität bei der Einsatzplanung bei vollzeitlicher Anwesenheit (E. 5.2). Dieses Beispiel vermag insofern nicht zu überzeugen, als dass gerade bei der Einsatzplanung stets darauf Rücksicht genommen werden muss, dass der invalide Arbeitnehmer nur 50% Leistung erbringen kann, auch wenn er physisch ganztags anwesend ist. Der reduzierten Leistung müsste durch zusätzliches Personal oder durch Mehrarbeit der Mitarbeitenden Rechnung getragen werden. Kein Arbeitgeber wird bereit sein, dem ganztägig anwesenden Arbeitnehmer für eine Leistung von 80% einen höheren Lohn zu bezahlen als dem zeitlich nur 80% Anwesenden ohne Leistungseinbusse; tendenziell dürfte eher das Gegenteil der Fall sein. Da dies jedoch statistisch nicht untersucht wurde, erscheint es als angezeigt, den statistisch ausgewiesenen Teilzeitnachteil sowohl bei teilzeitlich mit voller Leistung als auch bei vollzeitlich mit eingeschränkter Leistung arbeitsfähigen Versicherten anzuwenden (Urteil des Versicherungsgerichts des Kantons St. Gallen vom 29. September 2008, IV 2007/242, E. 4.3.4). Dies gilt umso mehr, als ganztägig anwesende Arbeitnehmer die Infrastruktur des Arbeitgebers im Vergleich zu Teilzeitangestellten länger, ineffizienter und damit kostenintensiver beanspruchen und abnutzen. Durch die ganztägige Präsenz an einem Arbeitsplatz wird im Vergleich zu einer Teilzeitanstellung auch verhindert, dass der Arbeitgeber den Arbeitsplatz durch eine weitere – im kontrastierenden Teilzeitpensum voll leistungsfähige – arbeitnehmende Person nutzen kann. Der Teilzeitnachteil hat nach dem Gesagten auch im Fall der ganztägigen Anwesenheit bei reduzierter Leistungsfähigkeit zum Tragen zu kommen. Bei diesem Ergebnis kann die Frage offen gelassen werden, ob der Beschwerdeführer seine Restarbeitsfähigkeit ganztags oder lediglich noch in einer Teilzeitanstellung verwerten kann. 3.3.3 Des Weiteren schmälert das fortgeschrittene Alter des Beschwerdeführers (Jahrgang 1956) – nicht zuletzt aufgrund der hohen Sozialkosten – den zu erwartenden Lohn zusätzlich (vgl. zur Benachteiligung von Personen ab 50 Jahren auch Bundesamt für Statistik, Erwerbstätigkeit der Personen ab 50 Jahren, 2008, S. 12). Ferner besteht selbst bei einfachen und repetitiven Tätigkeiten im Anforderungsniveau 4 nur noch ein erheblich eingeschränkter Bereich möglicher Arbeitsplätze (keine Fliessbandarbeit, keine Arbeit unter Zeitdruck, keine feinmotorischen Tätigkeiten, keine häufigen Rotationsbewegungen im Handgelenk, Einschränkungen bei Überkopfarbeiten; act. G 5.1/69.22), was im Rahmen des Abzuges vom Tabellenlohn zu berücksichtigen ist. Aufgrund der skeptischen Prognose zum Verlauf des Gesundheitszustandes und der bestehenden Leiden ist auch von einem erhöhten Krankheitsrisiko auszugehen, was den Beschwerdeführer im Vergleich zu einer gesunden Person für einen ökonomisch denkenden Arbeitgeber weniger attraktiv macht. Dieses Risiko, dessen Verwirklichung die Gesamtlohnkosten des Betriebes erhöhen würde, senkt den "Wert" des Beschwerdeführers als Arbeitnehmer. Um dies zu kompensieren und konkurrenzfähig zu bleiben, müsste der Beschwerdeführer mit einem entsprechend tieferen Lohn rechnen (vgl. Urteil des Bundesgerichts vom 25. November 2008 i.S. Y., 9C_650/2008, E. 5.4). 3.3.4 Insgesamt wirken sich mehrere persönliche und berufliche Merkmale zum Teil einschneidend auf die Leistungsfähigkeit des Beschwerdeführers und dadurch auf den auf dem Arbeitsmarkt zu erwartenden Lohn aus. Gestützt auf den von der Beschwerdegegnerin allein aufgrund der verminderten Belastbarkeit anerkannten Leidensabzug von 10% ergibt sich unter Berücksichtigung eines Teilzeitabzuges, des fortgeschrittenen Alters sowie des erhöhten Krankheitsrisikos des Beschwerdeführers insgesamt ein Leidensabzug von mindestens 20%. 3.3.5 Unter Berücksichtigung eines 20%igen Leidensabzuges resultiert in Anwendung eines Einkommensvergleichs gemäss vorstehender E. 3.2.2 (sogenannter Prozentvergleich) ein Invaliditätsgrad von 52% und somit ein Anspruch auf eine halbe Rente.</w:t>
      </w:r>
    </w:p>
    <w:p>
      <w:r>
        <w:rPr>
          <w:b/>
        </w:rPr>
        <w:t>E. 4</w:t>
      </w:r>
    </w:p>
    <w:p>
      <w:r>
        <w:t>4.1  Nach dem Gesagten ist in Gutheissung der Beschwerde die Verfügung vom 28. März 2007 aufzuheben und dem Beschwerdeführer eine halbe Rente auszurichten. Die Sache ist zur Festsetzung von Rentenbeginn und Rentenhöhe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angefochtene Verfügung wird in Gutheissung der Beschwerde aufgehoben. Somit unterliegt die Beschwerdegegnerin. Sie hat deshalb die Gerichtskosten von Fr. 600.-- zu bezahlen.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eine Parteientschädigung von Fr. 3'500.-- (inklusive Barauslagen und Mehrwertsteuer) als angemessen. Das Gesuch um unentgeltliche Rechtspflege wird bei diesem Verfahrensausgang gegenstandslos. Demgemäss hat das Versicherungsgericht im Zirkulationsverfahren gemäss Art. 53 GerG entschieden: 1.  In Gutheissung der Beschwerde wird die angefochtene Verfügung vom 28. März 2007 aufgehoben und dem Beschwerdeführer eine halbe Rente zugesprochen. Zur Festsetzung von Rentenbeginn und Rentenhöhe wird die Sache an die Beschwerdegegnerin zurückgewiesen. 2.  Die Beschwerdegegnerin hat die Gerichtskosten von Fr. 600.-- zu bezahlen.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